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0D5F" w14:textId="77777777" w:rsidR="00AB2449" w:rsidRPr="00F060AD" w:rsidRDefault="00AB2449" w:rsidP="00AB2449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F060AD">
        <w:rPr>
          <w:rFonts w:ascii="Times New Roman" w:hAnsi="Times New Roman" w:cs="Times New Roman"/>
          <w:sz w:val="24"/>
          <w:szCs w:val="24"/>
        </w:rPr>
        <w:t xml:space="preserve">Table 2. David Baker, “Early in the </w:t>
      </w:r>
      <w:proofErr w:type="spellStart"/>
      <w:r w:rsidRPr="00F060AD">
        <w:rPr>
          <w:rFonts w:ascii="Times New Roman" w:hAnsi="Times New Roman" w:cs="Times New Roman"/>
          <w:sz w:val="24"/>
          <w:szCs w:val="24"/>
        </w:rPr>
        <w:t>Mornin</w:t>
      </w:r>
      <w:proofErr w:type="spellEnd"/>
      <w:r w:rsidRPr="00F060AD">
        <w:rPr>
          <w:rFonts w:ascii="Times New Roman" w:hAnsi="Times New Roman" w:cs="Times New Roman"/>
          <w:sz w:val="24"/>
          <w:szCs w:val="24"/>
        </w:rPr>
        <w:t>” précis</w:t>
      </w:r>
    </w:p>
    <w:p w14:paraId="479FDCFD" w14:textId="77777777" w:rsidR="00AB2449" w:rsidRPr="00F060AD" w:rsidRDefault="00AB2449" w:rsidP="00AB2449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6"/>
        <w:gridCol w:w="2872"/>
        <w:gridCol w:w="3888"/>
      </w:tblGrid>
      <w:tr w:rsidR="00AB2449" w:rsidRPr="00F060AD" w14:paraId="24D2EA55" w14:textId="77777777" w:rsidTr="00BC4F06"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A9D4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Bars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914A3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9D44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AB2449" w:rsidRPr="00F060AD" w14:paraId="58C34B08" w14:textId="77777777" w:rsidTr="00BC4F06"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4A74944C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0425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7F2DE5CA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1ED57B62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7EEB21F5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BF86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Ritornello (introduction); marked </w:t>
            </w:r>
          </w:p>
          <w:p w14:paraId="3BFA338C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“Slow (mournfully)”</w:t>
            </w:r>
          </w:p>
          <w:p w14:paraId="089860B9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9" w:rsidRPr="00F060AD" w14:paraId="4BA2B713" w14:textId="77777777" w:rsidTr="00BC4F06">
        <w:tc>
          <w:tcPr>
            <w:tcW w:w="1376" w:type="dxa"/>
            <w:shd w:val="clear" w:color="auto" w:fill="auto"/>
          </w:tcPr>
          <w:p w14:paraId="57226A17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872" w:type="dxa"/>
            <w:shd w:val="clear" w:color="auto" w:fill="auto"/>
          </w:tcPr>
          <w:p w14:paraId="5E4CDBAE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Early in the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mornin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’, J.W. Brown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whippin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’ his woman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knockin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’ her around</w:t>
            </w:r>
          </w:p>
          <w:p w14:paraId="45948E8F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6F2DD073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Blues in F; call-and-response texture: marked “Tempo (swing)”</w:t>
            </w:r>
          </w:p>
        </w:tc>
      </w:tr>
      <w:tr w:rsidR="00AB2449" w:rsidRPr="00F060AD" w14:paraId="6906357A" w14:textId="77777777" w:rsidTr="00BC4F06">
        <w:tc>
          <w:tcPr>
            <w:tcW w:w="1376" w:type="dxa"/>
            <w:shd w:val="clear" w:color="auto" w:fill="auto"/>
          </w:tcPr>
          <w:p w14:paraId="3C5631F0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2872" w:type="dxa"/>
            <w:shd w:val="clear" w:color="auto" w:fill="auto"/>
          </w:tcPr>
          <w:p w14:paraId="51C69C74" w14:textId="77777777" w:rsidR="00AB2449" w:rsidRPr="00F060AD" w:rsidRDefault="00AB2449" w:rsidP="00BC4F06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gram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my question if-a you please (hum__), how she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answer down on her knees</w:t>
            </w:r>
          </w:p>
        </w:tc>
        <w:tc>
          <w:tcPr>
            <w:tcW w:w="3888" w:type="dxa"/>
            <w:shd w:val="clear" w:color="auto" w:fill="auto"/>
          </w:tcPr>
          <w:p w14:paraId="4B6CE6EE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Blues in F; thicker texture in the piano and added harmonic complexity (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tritone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substitutions at the end of the chorus)</w:t>
            </w:r>
          </w:p>
          <w:p w14:paraId="2BE41BAB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9" w:rsidRPr="00F060AD" w14:paraId="3B1A3513" w14:textId="77777777" w:rsidTr="00BC4F06">
        <w:tc>
          <w:tcPr>
            <w:tcW w:w="1376" w:type="dxa"/>
            <w:shd w:val="clear" w:color="auto" w:fill="auto"/>
          </w:tcPr>
          <w:p w14:paraId="2E3E78AA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2872" w:type="dxa"/>
            <w:shd w:val="clear" w:color="auto" w:fill="auto"/>
          </w:tcPr>
          <w:p w14:paraId="2DA7E874" w14:textId="77777777" w:rsidR="00AB2449" w:rsidRPr="00F060AD" w:rsidRDefault="00AB2449" w:rsidP="00BC4F06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groanin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“Buddy, Buddy” (yeah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yeah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) wake up and go (hum__), get L.C. and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Marg’ret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he’s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hurtin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’ me so</w:t>
            </w:r>
          </w:p>
        </w:tc>
        <w:tc>
          <w:tcPr>
            <w:tcW w:w="3888" w:type="dxa"/>
            <w:shd w:val="clear" w:color="auto" w:fill="auto"/>
          </w:tcPr>
          <w:p w14:paraId="1D8D63B0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Blues in F; walking bass; more harmonic complexity; chords with colorful extensions (e.g. 11ths and lowered 13ths)</w:t>
            </w:r>
          </w:p>
          <w:p w14:paraId="54361D98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9" w:rsidRPr="00F060AD" w14:paraId="43625423" w14:textId="77777777" w:rsidTr="00BC4F06">
        <w:tc>
          <w:tcPr>
            <w:tcW w:w="1376" w:type="dxa"/>
            <w:shd w:val="clear" w:color="auto" w:fill="auto"/>
          </w:tcPr>
          <w:p w14:paraId="7772E01B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2872" w:type="dxa"/>
            <w:shd w:val="clear" w:color="auto" w:fill="auto"/>
          </w:tcPr>
          <w:p w14:paraId="0D0C7395" w14:textId="77777777" w:rsidR="00AB2449" w:rsidRPr="00F060AD" w:rsidRDefault="00AB2449" w:rsidP="00BC4F06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31BAD3B3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Ritornello</w:t>
            </w:r>
          </w:p>
          <w:p w14:paraId="6758592F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9" w:rsidRPr="00F060AD" w14:paraId="24AEE3E5" w14:textId="77777777" w:rsidTr="00BC4F06">
        <w:tc>
          <w:tcPr>
            <w:tcW w:w="1376" w:type="dxa"/>
            <w:shd w:val="clear" w:color="auto" w:fill="auto"/>
          </w:tcPr>
          <w:p w14:paraId="2E42AA6B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51-69</w:t>
            </w:r>
          </w:p>
        </w:tc>
        <w:tc>
          <w:tcPr>
            <w:tcW w:w="2872" w:type="dxa"/>
            <w:shd w:val="clear" w:color="auto" w:fill="auto"/>
          </w:tcPr>
          <w:p w14:paraId="4E908D55" w14:textId="77777777" w:rsidR="00AB2449" w:rsidRPr="00F060AD" w:rsidRDefault="00AB2449" w:rsidP="00BC4F06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Buddy went a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flyin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’, down the stairs, brown pants over his underwear, but L.C. and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Marg’ret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wouldn’t stir said “Buddy we sympathize with her, but from what you say as </w:t>
            </w:r>
            <w:r w:rsidRPr="00F0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far as can see, if she’d answer his question, he’d let her be</w:t>
            </w:r>
          </w:p>
          <w:p w14:paraId="1A8AD424" w14:textId="77777777" w:rsidR="00AB2449" w:rsidRPr="00F060AD" w:rsidRDefault="00AB2449" w:rsidP="00BC4F06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5AF92FE2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Gospel-Blues in G marked “Moderately fast”</w:t>
            </w:r>
          </w:p>
        </w:tc>
      </w:tr>
      <w:tr w:rsidR="00AB2449" w:rsidRPr="00F060AD" w14:paraId="7E09D9F6" w14:textId="77777777" w:rsidTr="00BC4F06">
        <w:tc>
          <w:tcPr>
            <w:tcW w:w="1376" w:type="dxa"/>
            <w:shd w:val="clear" w:color="auto" w:fill="auto"/>
          </w:tcPr>
          <w:p w14:paraId="64698628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70-74</w:t>
            </w:r>
          </w:p>
        </w:tc>
        <w:tc>
          <w:tcPr>
            <w:tcW w:w="2872" w:type="dxa"/>
            <w:shd w:val="clear" w:color="auto" w:fill="auto"/>
          </w:tcPr>
          <w:p w14:paraId="3F4C8EB0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770ACDD3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Ritornello</w:t>
            </w:r>
          </w:p>
          <w:p w14:paraId="74871A53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9" w:rsidRPr="00F060AD" w14:paraId="0C8D38C3" w14:textId="77777777" w:rsidTr="00BC4F06">
        <w:tc>
          <w:tcPr>
            <w:tcW w:w="1376" w:type="dxa"/>
            <w:shd w:val="clear" w:color="auto" w:fill="auto"/>
          </w:tcPr>
          <w:p w14:paraId="5AFB9D4A" w14:textId="77777777" w:rsidR="00AB2449" w:rsidRPr="00F060AD" w:rsidRDefault="00AB2449" w:rsidP="00BC4F06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75-99</w:t>
            </w:r>
          </w:p>
        </w:tc>
        <w:tc>
          <w:tcPr>
            <w:tcW w:w="2872" w:type="dxa"/>
            <w:shd w:val="clear" w:color="auto" w:fill="auto"/>
          </w:tcPr>
          <w:p w14:paraId="01CE0185" w14:textId="77777777" w:rsidR="00AB2449" w:rsidRPr="00F060AD" w:rsidRDefault="00AB2449" w:rsidP="00BC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gram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 xml:space="preserve"> never did answer, as far as we could hear, but the sight of that child in his underwear, his head bent down his shoes untied and all </w:t>
            </w:r>
            <w:proofErr w:type="spellStart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comin</w:t>
            </w:r>
            <w:proofErr w:type="spellEnd"/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’ back alone down the empty mall was sad. More than I could bear. Makes you wonder if anybody cares anywhere.</w:t>
            </w:r>
          </w:p>
        </w:tc>
        <w:tc>
          <w:tcPr>
            <w:tcW w:w="3888" w:type="dxa"/>
            <w:shd w:val="clear" w:color="auto" w:fill="auto"/>
          </w:tcPr>
          <w:p w14:paraId="571CF26E" w14:textId="77777777" w:rsidR="00AB2449" w:rsidRPr="00F060AD" w:rsidRDefault="00AB2449" w:rsidP="00BC4F0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D">
              <w:rPr>
                <w:rFonts w:ascii="Times New Roman" w:hAnsi="Times New Roman" w:cs="Times New Roman"/>
                <w:sz w:val="24"/>
                <w:szCs w:val="24"/>
              </w:rPr>
              <w:t>F (Dorian mode) quickly gives way to more dissonant chords; Ritornello returns as accompaniment for last words in text.</w:t>
            </w:r>
          </w:p>
        </w:tc>
      </w:tr>
    </w:tbl>
    <w:p w14:paraId="20C7504E" w14:textId="77777777" w:rsidR="004D4ADE" w:rsidRPr="00F060AD" w:rsidRDefault="004D4A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ADE" w:rsidRPr="00F0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98106" w14:textId="77777777" w:rsidR="00B71557" w:rsidRDefault="00B71557" w:rsidP="00AB2449">
      <w:pPr>
        <w:spacing w:after="0" w:line="240" w:lineRule="auto"/>
      </w:pPr>
      <w:r>
        <w:separator/>
      </w:r>
    </w:p>
  </w:endnote>
  <w:endnote w:type="continuationSeparator" w:id="0">
    <w:p w14:paraId="13AF9A7E" w14:textId="77777777" w:rsidR="00B71557" w:rsidRDefault="00B71557" w:rsidP="00AB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9468" w14:textId="77777777" w:rsidR="00B71557" w:rsidRDefault="00B71557" w:rsidP="00AB2449">
      <w:pPr>
        <w:spacing w:after="0" w:line="240" w:lineRule="auto"/>
      </w:pPr>
      <w:r>
        <w:separator/>
      </w:r>
    </w:p>
  </w:footnote>
  <w:footnote w:type="continuationSeparator" w:id="0">
    <w:p w14:paraId="51E5F9A0" w14:textId="77777777" w:rsidR="00B71557" w:rsidRDefault="00B71557" w:rsidP="00AB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9"/>
    <w:rsid w:val="004D4ADE"/>
    <w:rsid w:val="0069302C"/>
    <w:rsid w:val="006D443E"/>
    <w:rsid w:val="00AB2449"/>
    <w:rsid w:val="00B71557"/>
    <w:rsid w:val="00F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D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B2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244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244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B2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244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2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1189</Characters>
  <Application>Microsoft Macintosh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Deadman</dc:creator>
  <cp:keywords/>
  <dc:description/>
  <cp:lastModifiedBy>Stephen Meyer</cp:lastModifiedBy>
  <cp:revision>3</cp:revision>
  <dcterms:created xsi:type="dcterms:W3CDTF">2015-07-28T21:08:00Z</dcterms:created>
  <dcterms:modified xsi:type="dcterms:W3CDTF">2016-01-08T13:32:00Z</dcterms:modified>
</cp:coreProperties>
</file>